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p>
    <w:p>
      <w:pPr>
        <w:pStyle w:val="Title"/>
      </w:pPr>
      <w:r>
        <w:t xml:space="preserve">BigTech Market</w:t>
      </w:r>
    </w:p>
    <w:p>
      <w:pPr>
        <w:pStyle w:val="Subtitle"/>
      </w:pPr>
      <w:r>
        <w:t xml:space="preserve">Expert Learning Module</w:t>
      </w:r>
    </w:p>
    <w:p>
      <w:pPr>
        <w:spacing w:before="200"/>
        <w:jc w:val="center"/>
      </w:pPr>
      <w:r>
        <w:rPr>
          <w:i/>
          <w:iCs/>
          <w:color w:val="595959"/>
          <w:sz w:val="24"/>
          <w:szCs w:val="24"/>
        </w:rPr>
        <w:t xml:space="preserve">Understanding the BTM Ecosystem, Expert Tracks &amp; Platform Tools</w:t>
      </w:r>
    </w:p>
    <w:p>
      <w:pPr>
        <w:pBdr>
          <w:top w:val="single" w:color="2E75B6" w:sz="6" w:space="12"/>
        </w:pBdr>
        <w:spacing w:before="800"/>
        <w:jc w:val="center"/>
      </w:pPr>
      <w:r>
        <w:rPr>
          <w:b/>
          <w:bCs/>
          <w:color w:val="2E75B6"/>
          <w:sz w:val="22"/>
          <w:szCs w:val="22"/>
        </w:rPr>
        <w:t xml:space="preserve">From First Click to Final Payment — One Platform.</w:t>
      </w:r>
    </w:p>
    <w:p>
      <w:r>
        <w:br w:type="page"/>
      </w:r>
    </w:p>
    <w:p>
      <w:pPr>
        <w:pStyle w:val="Heading1"/>
      </w:pPr>
      <w:r>
        <w:rPr>
          <w:color w:val="2E75B6"/>
        </w:rPr>
        <w:t xml:space="preserve">1. </w:t>
      </w:r>
      <w:r>
        <w:t xml:space="preserve">Introduction to BigTech Market</w:t>
      </w:r>
    </w:p>
    <w:p>
      <w:pPr>
        <w:spacing w:after="160"/>
      </w:pPr>
      <w:r>
        <w:t xml:space="preserve">BigTech Market (BTM) is an on-demand technology marketplace that connects businesses, government agencies, and organisations with certified high-technology experts and cutting-edge solutions, spanning IoT infrastructure, drone technology, AI-powered analytics, smart city systems, fleet management, asset tracking, and advanced unmanned aerial systems.</w:t>
      </w:r>
    </w:p>
    <w:p>
      <w:pPr>
        <w:spacing w:after="160"/>
      </w:pPr>
      <w:r>
        <w:t xml:space="preserve">Think of BTM as the technology equivalent of having a world-class expert in the room, except the room is digital, the expert is pre-qualified, and the entire process from first enquiry to signed agreement and payment happens automatically through one intelligent platform.</w:t>
      </w:r>
    </w:p>
    <w:p>
      <w:pPr>
        <w:pStyle w:val="Heading2"/>
      </w:pPr>
      <w:r>
        <w:t xml:space="preserve">What Makes BTM Different</w:t>
      </w:r>
    </w:p>
    <w:p>
      <w:pPr>
        <w:spacing w:after="160"/>
      </w:pPr>
      <w:r>
        <w:t xml:space="preserve">BTM is not a directory, and it is not a traditional consulting firm. It is a fully automated, AI-powered lead-to-deal ecosystem where every step, from product discovery to expert matching, consultation, deal management, and commission payout, is handled by the platform with zero manual handoffs, zero duplicate data entry, and zero missed opportunities.</w:t>
      </w:r>
    </w:p>
    <w:p>
      <w:pPr>
        <w:pStyle w:val="Heading2"/>
      </w:pPr>
      <w:r>
        <w:t xml:space="preserve">The Problem BTM Solves</w:t>
      </w:r>
    </w:p>
    <w:p>
      <w:pPr>
        <w:spacing w:after="160"/>
      </w:pPr>
      <w:r>
        <w:t xml:space="preserve">Businesses across India and globally know they need technology to stay competitive, but often do not know which solution to choose, which vendor to trust, or how to navigate the technical and commercial landscape of high-technology procurement.</w:t>
      </w:r>
    </w:p>
    <w:p>
      <w:pPr>
        <w:spacing w:after="160"/>
      </w:pPr>
      <w:r>
        <w:t xml:space="preserve">At the same time, skilled technology professionals with deep domain expertise in IoT deployments, drone operations, AI tool configuration, and smart city infrastructure are often underutilised, working in fixed-salary roles for a fraction of what their knowledge is worth in the open market.</w:t>
      </w:r>
    </w:p>
    <w:p>
      <w:pPr>
        <w:spacing w:after="160"/>
      </w:pPr>
      <w:r>
        <w:t xml:space="preserve">BTM bridges this gap from both sides: giving businesses instant access to verified expert knowledge exactly when they need it, and giving technology professionals a platform to monetise their expertise on their own terms.</w:t>
      </w:r>
    </w:p>
    <w:p>
      <w:pPr>
        <w:pStyle w:val="Heading2"/>
      </w:pPr>
      <w:r>
        <w:t xml:space="preserve">Who Benefits from BTM</w:t>
      </w:r>
    </w:p>
    <w:p>
      <w:pPr>
        <w:pStyle w:val="ListParagraph"/>
        <w:numPr>
          <w:ilvl w:val="0"/>
          <w:numId w:val="2"/>
        </w:numPr>
        <w:spacing w:after="80"/>
      </w:pPr>
      <w:r>
        <w:t xml:space="preserve">Businesses: access world-class technology expertise on demand, without the cost of permanent specialist headcount.</w:t>
      </w:r>
    </w:p>
    <w:p>
      <w:pPr>
        <w:pStyle w:val="ListParagraph"/>
        <w:numPr>
          <w:ilvl w:val="0"/>
          <w:numId w:val="2"/>
        </w:numPr>
        <w:spacing w:after="80"/>
      </w:pPr>
      <w:r>
        <w:t xml:space="preserve">Technology professionals: convert knowledge into income, without the constraints of traditional employment.</w:t>
      </w:r>
    </w:p>
    <w:p>
      <w:pPr>
        <w:pStyle w:val="ListParagraph"/>
        <w:numPr>
          <w:ilvl w:val="0"/>
          <w:numId w:val="2"/>
        </w:numPr>
        <w:spacing w:after="80"/>
      </w:pPr>
      <w:r>
        <w:t xml:space="preserve">Technology vendors: reach a motivated, expert-driven sales channel that connects efficiently with qualified enterprise and government buyers.</w:t>
      </w:r>
    </w:p>
    <w:p>
      <w:pPr>
        <w:pBdr>
          <w:left w:val="single" w:color="2E75B6" w:sz="18" w:space="8"/>
        </w:pBdr>
        <w:spacing w:after="200" w:before="120"/>
      </w:pPr>
      <w:r>
        <w:rPr>
          <w:i/>
          <w:iCs/>
          <w:color w:val="595959"/>
        </w:rPr>
        <w:t xml:space="preserve">BigTech Market is not just a marketplace — it is a movement toward a world where the best technology reaches the organisations that need it most, guided by the experts who understand it best.</w:t>
      </w:r>
    </w:p>
    <w:p>
      <w:pPr>
        <w:pStyle w:val="Heading1"/>
      </w:pPr>
      <w:r>
        <w:rPr>
          <w:color w:val="2E75B6"/>
        </w:rPr>
        <w:t xml:space="preserve">2. </w:t>
      </w:r>
      <w:r>
        <w:t xml:space="preserve">BigTech Market Expert Overview</w:t>
      </w:r>
    </w:p>
    <w:p>
      <w:pPr>
        <w:spacing w:after="160"/>
      </w:pPr>
      <w:r>
        <w:t xml:space="preserve">BTM Experts are the human intelligence layer that makes the platform extraordinary. They are independent technology specialists, not employees, who bring years of real-world deployment experience in their domain and deliver consultations that help businesses make faster, better, and more confident technology decisions.</w:t>
      </w:r>
    </w:p>
    <w:p>
      <w:pPr>
        <w:pStyle w:val="Heading2"/>
      </w:pPr>
      <w:r>
        <w:t xml:space="preserve">The Three Expert Tracks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3000"/>
        <w:gridCol w:w="2760"/>
      </w:tblGrid>
      <w:tr>
        <w:trPr>
          <w:tblHeader/>
        </w:trPr>
        <w:tc>
          <w:tcPr>
            <w:tcW w:type="dxa" w:w="0"/>
            <w:tcBorders>
              <w:top w:val="single" w:color="CCCCCC" w:sz="1"/>
              <w:left w:val="single" w:color="CCCCCC" w:sz="1"/>
              <w:bottom w:val="single" w:color="CCCCCC" w:sz="1"/>
              <w:right w:val="single" w:color="CCCCCC" w:sz="1"/>
            </w:tcBorders>
            <w:shd w:fill="1F3864" w:val="clear"/>
            <w:tcMar>
              <w:top w:type="dxa" w:w="100"/>
              <w:left w:type="dxa" w:w="140"/>
              <w:bottom w:type="dxa" w:w="100"/>
              <w:right w:type="dxa" w:w="140"/>
            </w:tcMar>
            <w:vAlign w:val="center"/>
          </w:tcPr>
          <w:p>
            <w:r>
              <w:rPr>
                <w:b/>
                <w:bCs/>
                <w:color w:val="FFFFFF"/>
              </w:rPr>
              <w:t xml:space="preserve">Track</w:t>
            </w:r>
          </w:p>
        </w:tc>
        <w:tc>
          <w:tcPr>
            <w:tcW w:type="dxa" w:w="0"/>
            <w:tcBorders>
              <w:top w:val="single" w:color="CCCCCC" w:sz="1"/>
              <w:left w:val="single" w:color="CCCCCC" w:sz="1"/>
              <w:bottom w:val="single" w:color="CCCCCC" w:sz="1"/>
              <w:right w:val="single" w:color="CCCCCC" w:sz="1"/>
            </w:tcBorders>
            <w:shd w:fill="1F3864" w:val="clear"/>
            <w:tcMar>
              <w:top w:type="dxa" w:w="100"/>
              <w:left w:type="dxa" w:w="140"/>
              <w:bottom w:type="dxa" w:w="100"/>
              <w:right w:type="dxa" w:w="140"/>
            </w:tcMar>
            <w:vAlign w:val="center"/>
          </w:tcPr>
          <w:p>
            <w:r>
              <w:rPr>
                <w:b/>
                <w:bCs/>
                <w:color w:val="FFFFFF"/>
              </w:rPr>
              <w:t xml:space="preserve">Focus Area</w:t>
            </w:r>
          </w:p>
        </w:tc>
        <w:tc>
          <w:tcPr>
            <w:tcW w:type="dxa" w:w="0"/>
            <w:tcBorders>
              <w:top w:val="single" w:color="CCCCCC" w:sz="1"/>
              <w:left w:val="single" w:color="CCCCCC" w:sz="1"/>
              <w:bottom w:val="single" w:color="CCCCCC" w:sz="1"/>
              <w:right w:val="single" w:color="CCCCCC" w:sz="1"/>
            </w:tcBorders>
            <w:shd w:fill="1F3864" w:val="clear"/>
            <w:tcMar>
              <w:top w:type="dxa" w:w="100"/>
              <w:left w:type="dxa" w:w="140"/>
              <w:bottom w:type="dxa" w:w="100"/>
              <w:right w:type="dxa" w:w="140"/>
            </w:tcMar>
            <w:vAlign w:val="center"/>
          </w:tcPr>
          <w:p>
            <w:r>
              <w:rPr>
                <w:b/>
                <w:bCs/>
                <w:color w:val="FFFFFF"/>
              </w:rPr>
              <w:t xml:space="preserve">Typical Engagement</w:t>
            </w:r>
          </w:p>
        </w:tc>
      </w:tr>
      <w:tr>
        <w:tc>
          <w:tcPr>
            <w:tcW w:type="dxa" w:w="0"/>
            <w:tcBorders>
              <w:top w:val="single" w:color="CCCCCC" w:sz="1"/>
              <w:left w:val="single" w:color="CCCCCC" w:sz="1"/>
              <w:bottom w:val="single" w:color="CCCCCC" w:sz="1"/>
              <w:right w:val="single" w:color="CCCCCC" w:sz="1"/>
            </w:tcBorders>
            <w:tcMar>
              <w:top w:type="dxa" w:w="100"/>
              <w:left w:type="dxa" w:w="140"/>
              <w:bottom w:type="dxa" w:w="100"/>
              <w:right w:type="dxa" w:w="140"/>
            </w:tcMar>
            <w:vAlign w:val="center"/>
          </w:tcPr>
          <w:p>
            <w:r>
              <w:rPr>
                <w:b w:val="false"/>
                <w:bCs w:val="false"/>
                <w:color w:val="000000"/>
              </w:rPr>
              <w:t xml:space="preserve">BTJE — Joint Engineering Expert</w:t>
            </w:r>
          </w:p>
        </w:tc>
        <w:tc>
          <w:tcPr>
            <w:tcW w:type="dxa" w:w="0"/>
            <w:tcBorders>
              <w:top w:val="single" w:color="CCCCCC" w:sz="1"/>
              <w:left w:val="single" w:color="CCCCCC" w:sz="1"/>
              <w:bottom w:val="single" w:color="CCCCCC" w:sz="1"/>
              <w:right w:val="single" w:color="CCCCCC" w:sz="1"/>
            </w:tcBorders>
            <w:tcMar>
              <w:top w:type="dxa" w:w="100"/>
              <w:left w:type="dxa" w:w="140"/>
              <w:bottom w:type="dxa" w:w="100"/>
              <w:right w:type="dxa" w:w="140"/>
            </w:tcMar>
            <w:vAlign w:val="center"/>
          </w:tcPr>
          <w:p>
            <w:r>
              <w:rPr>
                <w:b w:val="false"/>
                <w:bCs w:val="false"/>
                <w:color w:val="000000"/>
              </w:rPr>
              <w:t xml:space="preserve">Co-development and shared IP opportunities</w:t>
            </w:r>
          </w:p>
        </w:tc>
        <w:tc>
          <w:tcPr>
            <w:tcW w:type="dxa" w:w="0"/>
            <w:tcBorders>
              <w:top w:val="single" w:color="CCCCCC" w:sz="1"/>
              <w:left w:val="single" w:color="CCCCCC" w:sz="1"/>
              <w:bottom w:val="single" w:color="CCCCCC" w:sz="1"/>
              <w:right w:val="single" w:color="CCCCCC" w:sz="1"/>
            </w:tcBorders>
            <w:tcMar>
              <w:top w:type="dxa" w:w="100"/>
              <w:left w:type="dxa" w:w="140"/>
              <w:bottom w:type="dxa" w:w="100"/>
              <w:right w:type="dxa" w:w="140"/>
            </w:tcMar>
            <w:vAlign w:val="center"/>
          </w:tcPr>
          <w:p>
            <w:r>
              <w:rPr>
                <w:b w:val="false"/>
                <w:bCs w:val="false"/>
                <w:color w:val="000000"/>
              </w:rPr>
              <w:t xml:space="preserve">Technology partnerships, joint product or solution development</w:t>
            </w:r>
          </w:p>
        </w:tc>
      </w:tr>
      <w:tr>
        <w:tc>
          <w:tcPr>
            <w:tcW w:type="dxa" w:w="0"/>
            <w:tcBorders>
              <w:top w:val="single" w:color="CCCCCC" w:sz="1"/>
              <w:left w:val="single" w:color="CCCCCC" w:sz="1"/>
              <w:bottom w:val="single" w:color="CCCCCC" w:sz="1"/>
              <w:right w:val="single" w:color="CCCCCC" w:sz="1"/>
            </w:tcBorders>
            <w:tcMar>
              <w:top w:type="dxa" w:w="100"/>
              <w:left w:type="dxa" w:w="140"/>
              <w:bottom w:type="dxa" w:w="100"/>
              <w:right w:type="dxa" w:w="140"/>
            </w:tcMar>
            <w:vAlign w:val="center"/>
          </w:tcPr>
          <w:p>
            <w:r>
              <w:rPr>
                <w:b w:val="false"/>
                <w:bCs w:val="false"/>
                <w:color w:val="000000"/>
              </w:rPr>
              <w:t xml:space="preserve">BTAE — Application Engineering Expert</w:t>
            </w:r>
          </w:p>
        </w:tc>
        <w:tc>
          <w:tcPr>
            <w:tcW w:type="dxa" w:w="0"/>
            <w:tcBorders>
              <w:top w:val="single" w:color="CCCCCC" w:sz="1"/>
              <w:left w:val="single" w:color="CCCCCC" w:sz="1"/>
              <w:bottom w:val="single" w:color="CCCCCC" w:sz="1"/>
              <w:right w:val="single" w:color="CCCCCC" w:sz="1"/>
            </w:tcBorders>
            <w:tcMar>
              <w:top w:type="dxa" w:w="100"/>
              <w:left w:type="dxa" w:w="140"/>
              <w:bottom w:type="dxa" w:w="100"/>
              <w:right w:type="dxa" w:w="140"/>
            </w:tcMar>
            <w:vAlign w:val="center"/>
          </w:tcPr>
          <w:p>
            <w:r>
              <w:rPr>
                <w:b w:val="false"/>
                <w:bCs w:val="false"/>
                <w:color w:val="000000"/>
              </w:rPr>
              <w:t xml:space="preserve">Deployment and integration engagements</w:t>
            </w:r>
          </w:p>
        </w:tc>
        <w:tc>
          <w:tcPr>
            <w:tcW w:type="dxa" w:w="0"/>
            <w:tcBorders>
              <w:top w:val="single" w:color="CCCCCC" w:sz="1"/>
              <w:left w:val="single" w:color="CCCCCC" w:sz="1"/>
              <w:bottom w:val="single" w:color="CCCCCC" w:sz="1"/>
              <w:right w:val="single" w:color="CCCCCC" w:sz="1"/>
            </w:tcBorders>
            <w:tcMar>
              <w:top w:type="dxa" w:w="100"/>
              <w:left w:type="dxa" w:w="140"/>
              <w:bottom w:type="dxa" w:w="100"/>
              <w:right w:type="dxa" w:w="140"/>
            </w:tcMar>
            <w:vAlign w:val="center"/>
          </w:tcPr>
          <w:p>
            <w:r>
              <w:rPr>
                <w:b w:val="false"/>
                <w:bCs w:val="false"/>
                <w:color w:val="000000"/>
              </w:rPr>
              <w:t xml:space="preserve">Implementing IoT, drone, or AI solutions in live operational environments</w:t>
            </w:r>
          </w:p>
        </w:tc>
      </w:tr>
      <w:tr>
        <w:tc>
          <w:tcPr>
            <w:tcW w:type="dxa" w:w="0"/>
            <w:tcBorders>
              <w:top w:val="single" w:color="CCCCCC" w:sz="1"/>
              <w:left w:val="single" w:color="CCCCCC" w:sz="1"/>
              <w:bottom w:val="single" w:color="CCCCCC" w:sz="1"/>
              <w:right w:val="single" w:color="CCCCCC" w:sz="1"/>
            </w:tcBorders>
            <w:tcMar>
              <w:top w:type="dxa" w:w="100"/>
              <w:left w:type="dxa" w:w="140"/>
              <w:bottom w:type="dxa" w:w="100"/>
              <w:right w:type="dxa" w:w="140"/>
            </w:tcMar>
            <w:vAlign w:val="center"/>
          </w:tcPr>
          <w:p>
            <w:r>
              <w:rPr>
                <w:b w:val="false"/>
                <w:bCs w:val="false"/>
                <w:color w:val="000000"/>
              </w:rPr>
              <w:t xml:space="preserve">BTPE — Product Engineering Expert</w:t>
            </w:r>
          </w:p>
        </w:tc>
        <w:tc>
          <w:tcPr>
            <w:tcW w:type="dxa" w:w="0"/>
            <w:tcBorders>
              <w:top w:val="single" w:color="CCCCCC" w:sz="1"/>
              <w:left w:val="single" w:color="CCCCCC" w:sz="1"/>
              <w:bottom w:val="single" w:color="CCCCCC" w:sz="1"/>
              <w:right w:val="single" w:color="CCCCCC" w:sz="1"/>
            </w:tcBorders>
            <w:tcMar>
              <w:top w:type="dxa" w:w="100"/>
              <w:left w:type="dxa" w:w="140"/>
              <w:bottom w:type="dxa" w:w="100"/>
              <w:right w:type="dxa" w:w="140"/>
            </w:tcMar>
            <w:vAlign w:val="center"/>
          </w:tcPr>
          <w:p>
            <w:r>
              <w:rPr>
                <w:b w:val="false"/>
                <w:bCs w:val="false"/>
                <w:color w:val="000000"/>
              </w:rPr>
              <w:t xml:space="preserve">Customisation and configuration projects</w:t>
            </w:r>
          </w:p>
        </w:tc>
        <w:tc>
          <w:tcPr>
            <w:tcW w:type="dxa" w:w="0"/>
            <w:tcBorders>
              <w:top w:val="single" w:color="CCCCCC" w:sz="1"/>
              <w:left w:val="single" w:color="CCCCCC" w:sz="1"/>
              <w:bottom w:val="single" w:color="CCCCCC" w:sz="1"/>
              <w:right w:val="single" w:color="CCCCCC" w:sz="1"/>
            </w:tcBorders>
            <w:tcMar>
              <w:top w:type="dxa" w:w="100"/>
              <w:left w:type="dxa" w:w="140"/>
              <w:bottom w:type="dxa" w:w="100"/>
              <w:right w:type="dxa" w:w="140"/>
            </w:tcMar>
            <w:vAlign w:val="center"/>
          </w:tcPr>
          <w:p>
            <w:r>
              <w:rPr>
                <w:b w:val="false"/>
                <w:bCs w:val="false"/>
                <w:color w:val="000000"/>
              </w:rPr>
              <w:t xml:space="preserve">Adapting technology products to a client's specific requirements</w:t>
            </w:r>
          </w:p>
        </w:tc>
      </w:tr>
    </w:tbl>
    <w:p>
      <w:pPr>
        <w:spacing w:after="200"/>
      </w:pPr>
    </w:p>
    <w:p>
      <w:pPr>
        <w:pStyle w:val="Heading2"/>
      </w:pPr>
      <w:r>
        <w:t xml:space="preserve">How Experts Work</w:t>
      </w:r>
    </w:p>
    <w:p>
      <w:pPr>
        <w:pStyle w:val="ListParagraph"/>
        <w:numPr>
          <w:ilvl w:val="0"/>
          <w:numId w:val="2"/>
        </w:numPr>
        <w:spacing w:after="80"/>
      </w:pPr>
      <w:r>
        <w:t xml:space="preserve">Experts choose the clients they engage with, on their own terms.</w:t>
      </w:r>
    </w:p>
    <w:p>
      <w:pPr>
        <w:pStyle w:val="ListParagraph"/>
        <w:numPr>
          <w:ilvl w:val="0"/>
          <w:numId w:val="2"/>
        </w:numPr>
        <w:spacing w:after="80"/>
      </w:pPr>
      <w:r>
        <w:t xml:space="preserve">Experts set their own schedule, with no fixed office hours.</w:t>
      </w:r>
    </w:p>
    <w:p>
      <w:pPr>
        <w:pStyle w:val="ListParagraph"/>
        <w:numPr>
          <w:ilvl w:val="0"/>
          <w:numId w:val="2"/>
        </w:numPr>
        <w:spacing w:after="80"/>
      </w:pPr>
      <w:r>
        <w:t xml:space="preserve">Earnings are commission-based, tied directly to the deals an expert closes.</w:t>
      </w:r>
    </w:p>
    <w:p>
      <w:pPr>
        <w:pStyle w:val="ListParagraph"/>
        <w:numPr>
          <w:ilvl w:val="0"/>
          <w:numId w:val="2"/>
        </w:numPr>
        <w:spacing w:after="80"/>
      </w:pPr>
      <w:r>
        <w:t xml:space="preserve">There is no fixed salary ceiling, no office politics, and no limit on what deep expertise is worth.</w:t>
      </w:r>
    </w:p>
    <w:p>
      <w:pPr>
        <w:pStyle w:val="Heading2"/>
      </w:pPr>
      <w:r>
        <w:t xml:space="preserve">Beyond Identifying Talent</w:t>
      </w:r>
    </w:p>
    <w:p>
      <w:pPr>
        <w:spacing w:after="160"/>
      </w:pPr>
      <w:r>
        <w:t xml:space="preserve">BTM does not simply identify Associates or Experts to fill consultation slots. It also helps discover future experts, consultants, and business collaborators, creating a pipeline of talent that can grow into higher-value roles within the BTM ecosystem over time.</w:t>
      </w:r>
    </w:p>
    <w:p>
      <w:pPr>
        <w:pStyle w:val="Heading1"/>
      </w:pPr>
      <w:r>
        <w:rPr>
          <w:color w:val="2E75B6"/>
        </w:rPr>
        <w:t xml:space="preserve">3. </w:t>
      </w:r>
      <w:r>
        <w:t xml:space="preserve">BigTech Market Junior Expert Workflow (BTJE)</w:t>
      </w:r>
    </w:p>
    <w:p>
      <w:pPr>
        <w:spacing w:after="160"/>
      </w:pPr>
      <w:r>
        <w:t xml:space="preserve">The Junior Expert track corresponds to the BTJE — Joint Engineering Expert — role within BTM. Junior Experts are positioned for collaborative, partnership-style engagements rather than simple product sales, making this track well suited to professionals building toward deeper technical and business relationships with clients.</w:t>
      </w:r>
    </w:p>
    <w:p>
      <w:pPr>
        <w:pStyle w:val="Heading2"/>
      </w:pPr>
      <w:r>
        <w:t xml:space="preserve">Role Focus</w:t>
      </w:r>
    </w:p>
    <w:p>
      <w:pPr>
        <w:spacing w:after="160"/>
      </w:pPr>
      <w:r>
        <w:t xml:space="preserve">BTJEs handle co-development and shared IP opportunities. This track is ideal for experts working with organisations that are looking to build technology partnerships rather than simply buy a product off the shelf.</w:t>
      </w:r>
    </w:p>
    <w:p>
      <w:pPr>
        <w:pStyle w:val="Heading2"/>
      </w:pPr>
      <w:r>
        <w:t xml:space="preserve">Workflow Steps</w:t>
      </w:r>
    </w:p>
    <w:p>
      <w:pPr>
        <w:pStyle w:val="ListParagraph"/>
        <w:numPr>
          <w:ilvl w:val="0"/>
          <w:numId w:val="3"/>
        </w:numPr>
        <w:spacing w:after="80"/>
      </w:pPr>
      <w:r>
        <w:t xml:space="preserve">Lead Assignment: When a customer books a consultation that signals a partnership or co-development need, a contact record is created in HubSpot CRM and routed to the appropriate BTJE.</w:t>
      </w:r>
    </w:p>
    <w:p>
      <w:pPr>
        <w:pStyle w:val="ListParagraph"/>
        <w:numPr>
          <w:ilvl w:val="0"/>
          <w:numId w:val="3"/>
        </w:numPr>
        <w:spacing w:after="80"/>
      </w:pPr>
      <w:r>
        <w:t xml:space="preserve">Consultation: The BTJE conducts the 15-minute (or extended) consultation, exploring the scope for joint engineering or collaborative product development.</w:t>
      </w:r>
    </w:p>
    <w:p>
      <w:pPr>
        <w:pStyle w:val="ListParagraph"/>
        <w:numPr>
          <w:ilvl w:val="0"/>
          <w:numId w:val="3"/>
        </w:numPr>
        <w:spacing w:after="80"/>
      </w:pPr>
      <w:r>
        <w:t xml:space="preserve">AI-Assisted Capture: The AI pipeline transcribes the consultation in real time and extracts key commercial and technical requirements automatically, reducing manual note-taking.</w:t>
      </w:r>
    </w:p>
    <w:p>
      <w:pPr>
        <w:pStyle w:val="ListParagraph"/>
        <w:numPr>
          <w:ilvl w:val="0"/>
          <w:numId w:val="3"/>
        </w:numPr>
        <w:spacing w:after="80"/>
      </w:pPr>
      <w:r>
        <w:t xml:space="preserve">Deal Sheet Generation: Once the opportunity is qualified, a dynamic Deal Sheet is generated, capturing the partnership terms, shared IP considerations, and commercial structure.</w:t>
      </w:r>
    </w:p>
    <w:p>
      <w:pPr>
        <w:pStyle w:val="ListParagraph"/>
        <w:numPr>
          <w:ilvl w:val="0"/>
          <w:numId w:val="3"/>
        </w:numPr>
        <w:spacing w:after="80"/>
      </w:pPr>
      <w:r>
        <w:t xml:space="preserve">Execution: The Service Agreement is generated and routed for e-signature. Once signed, the deal moves to Closed Won status and the BTJE's commission is calculated against the agreed milestone structure.</w:t>
      </w:r>
    </w:p>
    <w:p>
      <w:pPr>
        <w:pBdr>
          <w:left w:val="single" w:color="2E75B6" w:sz="18" w:space="8"/>
        </w:pBdr>
        <w:spacing w:after="200" w:before="120"/>
      </w:pPr>
      <w:r>
        <w:rPr>
          <w:i/>
          <w:iCs/>
          <w:color w:val="595959"/>
        </w:rPr>
        <w:t xml:space="preserve">Junior Experts (BTJE) are best suited to professionals who enjoy collaborative, longer-horizon engagements that go beyond a single transaction.</w:t>
      </w:r>
    </w:p>
    <w:p>
      <w:pPr>
        <w:pStyle w:val="Heading1"/>
      </w:pPr>
      <w:r>
        <w:rPr>
          <w:color w:val="2E75B6"/>
        </w:rPr>
        <w:t xml:space="preserve">4. </w:t>
      </w:r>
      <w:r>
        <w:t xml:space="preserve">BigTech Market Associate Expert Workflow (BTAE)</w:t>
      </w:r>
    </w:p>
    <w:p>
      <w:pPr>
        <w:spacing w:after="160"/>
      </w:pPr>
      <w:r>
        <w:t xml:space="preserve">The Associate Expert track corresponds to the BTAE — Application Engineering Expert — role within BTM. This is the most common entry track for professionals joining BTM as Associates, since it centres on direct, one-to-one customer consultations and hands-on deployment guidance.</w:t>
      </w:r>
    </w:p>
    <w:p>
      <w:pPr>
        <w:pStyle w:val="Heading2"/>
      </w:pPr>
      <w:r>
        <w:t xml:space="preserve">Role Focus</w:t>
      </w:r>
    </w:p>
    <w:p>
      <w:pPr>
        <w:spacing w:after="160"/>
      </w:pPr>
      <w:r>
        <w:t xml:space="preserve">BTAEs manage deployment and integration engagements, bringing the field experience needed to help clients implement complex IoT, drone, or AI solutions in real operational environments.</w:t>
      </w:r>
    </w:p>
    <w:p>
      <w:pPr>
        <w:pStyle w:val="Heading2"/>
      </w:pPr>
      <w:r>
        <w:t xml:space="preserve">Workflow Steps</w:t>
      </w:r>
    </w:p>
    <w:p>
      <w:pPr>
        <w:pStyle w:val="ListParagraph"/>
        <w:numPr>
          <w:ilvl w:val="0"/>
          <w:numId w:val="4"/>
        </w:numPr>
        <w:spacing w:after="80"/>
      </w:pPr>
      <w:r>
        <w:t xml:space="preserve">Discovery: A customer browses the BTM Shopify storefront and books a free 15-minute consultation on a product such as an IoT sensor system, drone surveillance platform, AI analytics tool, or fleet management solution.</w:t>
      </w:r>
    </w:p>
    <w:p>
      <w:pPr>
        <w:pStyle w:val="ListParagraph"/>
        <w:numPr>
          <w:ilvl w:val="0"/>
          <w:numId w:val="4"/>
        </w:numPr>
        <w:spacing w:after="80"/>
      </w:pPr>
      <w:r>
        <w:t xml:space="preserve">Expert Matching: The expert category mapping system automatically tags the enquiry, and a contact record is created in HubSpot CRM and assigned to the appropriate BTAE.</w:t>
      </w:r>
    </w:p>
    <w:p>
      <w:pPr>
        <w:pStyle w:val="ListParagraph"/>
        <w:numPr>
          <w:ilvl w:val="0"/>
          <w:numId w:val="4"/>
        </w:numPr>
        <w:spacing w:after="80"/>
      </w:pPr>
      <w:r>
        <w:t xml:space="preserve">Consultation Call: The BTAE conducts the consultation, addressing deployment, integration, and operational questions specific to the product the customer is exploring.</w:t>
      </w:r>
    </w:p>
    <w:p>
      <w:pPr>
        <w:pStyle w:val="ListParagraph"/>
        <w:numPr>
          <w:ilvl w:val="0"/>
          <w:numId w:val="4"/>
        </w:numPr>
        <w:spacing w:after="80"/>
      </w:pPr>
      <w:r>
        <w:t xml:space="preserve">AI-Assisted Capture: The AI pipeline transcribes the call and extracts the customer's key commercial requirements automatically.</w:t>
      </w:r>
    </w:p>
    <w:p>
      <w:pPr>
        <w:pStyle w:val="ListParagraph"/>
        <w:numPr>
          <w:ilvl w:val="0"/>
          <w:numId w:val="4"/>
        </w:numPr>
        <w:spacing w:after="80"/>
      </w:pPr>
      <w:r>
        <w:t xml:space="preserve">Deal Sheet &amp; Profiles: A Deal Sheet is generated, with product and commission profiles linked automatically so pricing and commission are consistent and auditable.</w:t>
      </w:r>
    </w:p>
    <w:p>
      <w:pPr>
        <w:pStyle w:val="ListParagraph"/>
        <w:numPr>
          <w:ilvl w:val="0"/>
          <w:numId w:val="4"/>
        </w:numPr>
        <w:spacing w:after="80"/>
      </w:pPr>
      <w:r>
        <w:t xml:space="preserve">Execution &amp; Payment: The Service Agreement is signed, the deal is marked Closed Won, and commission is disbursed directly to the BTAE's wallet once milestones are verified.</w:t>
      </w:r>
    </w:p>
    <w:p>
      <w:pPr>
        <w:pBdr>
          <w:left w:val="single" w:color="2E75B6" w:sz="18" w:space="8"/>
        </w:pBdr>
        <w:spacing w:after="200" w:before="120"/>
      </w:pPr>
      <w:r>
        <w:rPr>
          <w:i/>
          <w:iCs/>
          <w:color w:val="595959"/>
        </w:rPr>
        <w:t xml:space="preserve">Associate Experts (BTAE) earn directly through the volume and quality of consultations they conduct — this is the track most aligned with the per-call earning model.</w:t>
      </w:r>
    </w:p>
    <w:p>
      <w:pPr>
        <w:pStyle w:val="Heading1"/>
      </w:pPr>
      <w:r>
        <w:rPr>
          <w:color w:val="2E75B6"/>
        </w:rPr>
        <w:t xml:space="preserve">5. </w:t>
      </w:r>
      <w:r>
        <w:t xml:space="preserve">BigTech Market Principal Expert Workflow (BTPE)</w:t>
      </w:r>
    </w:p>
    <w:p>
      <w:pPr>
        <w:spacing w:after="160"/>
      </w:pPr>
      <w:r>
        <w:t xml:space="preserve">The Principal Expert track corresponds to the BTPE — Product Engineering Expert — role within BTM. This track typically represents the most senior level of product specialisation, focused on precise customisation rather than general consultation.</w:t>
      </w:r>
    </w:p>
    <w:p>
      <w:pPr>
        <w:pStyle w:val="Heading2"/>
      </w:pPr>
      <w:r>
        <w:t xml:space="preserve">Role Focus</w:t>
      </w:r>
    </w:p>
    <w:p>
      <w:pPr>
        <w:spacing w:after="160"/>
      </w:pPr>
      <w:r>
        <w:t xml:space="preserve">BTPEs oversee customisation and configuration projects, ensuring that technology products are adapted precisely to each client's specific requirements rather than delivered as generic, off-the-shelf solutions.</w:t>
      </w:r>
    </w:p>
    <w:p>
      <w:pPr>
        <w:pStyle w:val="Heading2"/>
      </w:pPr>
      <w:r>
        <w:t xml:space="preserve">Workflow Steps</w:t>
      </w:r>
    </w:p>
    <w:p>
      <w:pPr>
        <w:pStyle w:val="ListParagraph"/>
        <w:numPr>
          <w:ilvl w:val="0"/>
          <w:numId w:val="5"/>
        </w:numPr>
        <w:spacing w:after="80"/>
      </w:pPr>
      <w:r>
        <w:t xml:space="preserve">Qualified Hand-off: Once a consultation reveals a need for deep product customisation, the opportunity is routed in HubSpot CRM to the appropriate BTPE.</w:t>
      </w:r>
    </w:p>
    <w:p>
      <w:pPr>
        <w:pStyle w:val="ListParagraph"/>
        <w:numPr>
          <w:ilvl w:val="0"/>
          <w:numId w:val="5"/>
        </w:numPr>
        <w:spacing w:after="80"/>
      </w:pPr>
      <w:r>
        <w:t xml:space="preserve">Technical Consultation: The BTPE engages with the client to understand the specific configuration, integration, or customisation requirements behind the request.</w:t>
      </w:r>
    </w:p>
    <w:p>
      <w:pPr>
        <w:pStyle w:val="ListParagraph"/>
        <w:numPr>
          <w:ilvl w:val="0"/>
          <w:numId w:val="5"/>
        </w:numPr>
        <w:spacing w:after="80"/>
      </w:pPr>
      <w:r>
        <w:t xml:space="preserve">Requirement Extraction: The AI pipeline captures technical and commercial requirements from the consultation, feeding directly into deal documentation.</w:t>
      </w:r>
    </w:p>
    <w:p>
      <w:pPr>
        <w:pStyle w:val="ListParagraph"/>
        <w:numPr>
          <w:ilvl w:val="0"/>
          <w:numId w:val="5"/>
        </w:numPr>
        <w:spacing w:after="80"/>
      </w:pPr>
      <w:r>
        <w:t xml:space="preserve">Deal Sheet Generation: A Deal Sheet is created covering the customised scope of work, linked to the relevant product and commission profiles for accurate, formula-driven pricing.</w:t>
      </w:r>
    </w:p>
    <w:p>
      <w:pPr>
        <w:pStyle w:val="ListParagraph"/>
        <w:numPr>
          <w:ilvl w:val="0"/>
          <w:numId w:val="5"/>
        </w:numPr>
        <w:spacing w:after="80"/>
      </w:pPr>
      <w:r>
        <w:t xml:space="preserve">Service Agreement &amp; Closure: The agreement is routed for e-signature, the deal is marked Closed Won upon signing, and commission is verified against milestone records before payout.</w:t>
      </w:r>
    </w:p>
    <w:p>
      <w:pPr>
        <w:pStyle w:val="ListParagraph"/>
        <w:numPr>
          <w:ilvl w:val="0"/>
          <w:numId w:val="5"/>
        </w:numPr>
        <w:spacing w:after="80"/>
      </w:pPr>
      <w:r>
        <w:t xml:space="preserve">Payment: Commission is disbursed directly to the BTPE's wallet, with a complete, immutable audit trail from first click to final payment.</w:t>
      </w:r>
    </w:p>
    <w:p>
      <w:pPr>
        <w:pBdr>
          <w:left w:val="single" w:color="2E75B6" w:sz="18" w:space="8"/>
        </w:pBdr>
        <w:spacing w:after="200" w:before="120"/>
      </w:pPr>
      <w:r>
        <w:rPr>
          <w:i/>
          <w:iCs/>
          <w:color w:val="595959"/>
        </w:rPr>
        <w:t xml:space="preserve">Principal Experts (BTPE) typically handle higher-complexity, higher-value engagements, reflecting deeper product and configuration expertise.</w:t>
      </w:r>
    </w:p>
    <w:p>
      <w:pPr>
        <w:pStyle w:val="Heading1"/>
      </w:pPr>
      <w:r>
        <w:rPr>
          <w:color w:val="2E75B6"/>
        </w:rPr>
        <w:t xml:space="preserve">6. </w:t>
      </w:r>
      <w:r>
        <w:t xml:space="preserve">BigTech Market Deal Sheet Management</w:t>
      </w:r>
    </w:p>
    <w:p>
      <w:pPr>
        <w:spacing w:after="160"/>
      </w:pPr>
      <w:r>
        <w:t xml:space="preserve">The Deal Sheet sits at the centre of every BTM transaction. It is a single, dynamic record that is automatically generated once a lead is qualified, and it serves multiple purposes simultaneously.</w:t>
      </w:r>
    </w:p>
    <w:p>
      <w:pPr>
        <w:pStyle w:val="Heading2"/>
      </w:pPr>
      <w:r>
        <w:t xml:space="preserve">What the Deal Sheet Represents</w:t>
      </w:r>
    </w:p>
    <w:p>
      <w:pPr>
        <w:pStyle w:val="ListParagraph"/>
        <w:numPr>
          <w:ilvl w:val="0"/>
          <w:numId w:val="2"/>
        </w:numPr>
        <w:spacing w:after="80"/>
      </w:pPr>
      <w:r>
        <w:t xml:space="preserve">Legal contract: the formal record of the agreement between the customer and the expert or platform.</w:t>
      </w:r>
    </w:p>
    <w:p>
      <w:pPr>
        <w:pStyle w:val="ListParagraph"/>
        <w:numPr>
          <w:ilvl w:val="0"/>
          <w:numId w:val="2"/>
        </w:numPr>
        <w:spacing w:after="80"/>
      </w:pPr>
      <w:r>
        <w:t xml:space="preserve">Commercial term sheet: capturing pricing, scope, and payment terms.</w:t>
      </w:r>
    </w:p>
    <w:p>
      <w:pPr>
        <w:pStyle w:val="ListParagraph"/>
        <w:numPr>
          <w:ilvl w:val="0"/>
          <w:numId w:val="2"/>
        </w:numPr>
        <w:spacing w:after="80"/>
      </w:pPr>
      <w:r>
        <w:t xml:space="preserve">Project dashboard: tracking the live status of the engagement.</w:t>
      </w:r>
    </w:p>
    <w:p>
      <w:pPr>
        <w:pStyle w:val="ListParagraph"/>
        <w:numPr>
          <w:ilvl w:val="0"/>
          <w:numId w:val="2"/>
        </w:numPr>
        <w:spacing w:after="80"/>
      </w:pPr>
      <w:r>
        <w:t xml:space="preserve">Compliance repository: storing the documentation needed for audit and governance.</w:t>
      </w:r>
    </w:p>
    <w:p>
      <w:pPr>
        <w:pStyle w:val="ListParagraph"/>
        <w:numPr>
          <w:ilvl w:val="0"/>
          <w:numId w:val="2"/>
        </w:numPr>
        <w:spacing w:after="80"/>
      </w:pPr>
      <w:r>
        <w:t xml:space="preserve">Payment integrator: connecting directly to the commission and payout process.</w:t>
      </w:r>
    </w:p>
    <w:p>
      <w:pPr>
        <w:spacing w:after="160"/>
      </w:pPr>
      <w:r>
        <w:t xml:space="preserve">Because all of this lives in one unified record, information is never entered twice, and there is no risk of mismatched data between the contract, the commercial terms, and the payment process.</w:t>
      </w:r>
    </w:p>
    <w:p>
      <w:pPr>
        <w:pStyle w:val="Heading2"/>
      </w:pPr>
      <w:r>
        <w:t xml:space="preserve">How Deal Sheets Connect to Profiles</w:t>
      </w:r>
    </w:p>
    <w:p>
      <w:pPr>
        <w:spacing w:after="160"/>
      </w:pPr>
      <w:r>
        <w:t xml:space="preserve">Product profiles and commission profiles link automatically to the active Deal Sheet. This ensures that every deal is priced consistently, and every commission is formula-driven, auditable, and accurate from the moment the opportunity is qualified, removing the need for manual pricing checks or commission calculations.</w:t>
      </w:r>
    </w:p>
    <w:p>
      <w:pPr>
        <w:pStyle w:val="Heading2"/>
      </w:pPr>
      <w:r>
        <w:t xml:space="preserve">From Deal Sheet to Payment</w:t>
      </w:r>
    </w:p>
    <w:p>
      <w:pPr>
        <w:pStyle w:val="ListParagraph"/>
        <w:numPr>
          <w:ilvl w:val="0"/>
          <w:numId w:val="6"/>
        </w:numPr>
        <w:spacing w:after="80"/>
      </w:pPr>
      <w:r>
        <w:t xml:space="preserve">The Service Agreement is automatically generated from the Deal Sheet and routed for e-signature.</w:t>
      </w:r>
    </w:p>
    <w:p>
      <w:pPr>
        <w:pStyle w:val="ListParagraph"/>
        <w:numPr>
          <w:ilvl w:val="0"/>
          <w:numId w:val="6"/>
        </w:numPr>
        <w:spacing w:after="80"/>
      </w:pPr>
      <w:r>
        <w:t xml:space="preserve">Once signed, the deal is marked Closed Won within the Deal Sheet record.</w:t>
      </w:r>
    </w:p>
    <w:p>
      <w:pPr>
        <w:pStyle w:val="ListParagraph"/>
        <w:numPr>
          <w:ilvl w:val="0"/>
          <w:numId w:val="6"/>
        </w:numPr>
        <w:spacing w:after="80"/>
      </w:pPr>
      <w:r>
        <w:t xml:space="preserve">Commissions are verified against milestone records captured in the Deal Sheet.</w:t>
      </w:r>
    </w:p>
    <w:p>
      <w:pPr>
        <w:pStyle w:val="ListParagraph"/>
        <w:numPr>
          <w:ilvl w:val="0"/>
          <w:numId w:val="6"/>
        </w:numPr>
        <w:spacing w:after="80"/>
      </w:pPr>
      <w:r>
        <w:t xml:space="preserve">Payment is disbursed directly to the expert's bank account or wallet via API.</w:t>
      </w:r>
    </w:p>
    <w:p>
      <w:pPr>
        <w:pStyle w:val="ListParagraph"/>
        <w:numPr>
          <w:ilvl w:val="0"/>
          <w:numId w:val="6"/>
        </w:numPr>
        <w:spacing w:after="80"/>
      </w:pPr>
      <w:r>
        <w:t xml:space="preserve">A complete, immutable audit trail is maintained, covering every transaction from first click to final payment.</w:t>
      </w:r>
    </w:p>
    <w:p>
      <w:pPr>
        <w:pStyle w:val="Heading2"/>
      </w:pPr>
      <w:r>
        <w:t xml:space="preserve">Deal Bin Protection</w:t>
      </w:r>
    </w:p>
    <w:p>
      <w:pPr>
        <w:spacing w:after="160"/>
      </w:pPr>
      <w:r>
        <w:t xml:space="preserve">Every qualified opportunity, regardless of which expert first touched it, is protected by the Deal Bin redistribution system. This ensures that no lead is ever lost, even if the original expert is unavailable to take the engagement forward.</w:t>
      </w:r>
    </w:p>
    <w:p>
      <w:pPr>
        <w:pStyle w:val="Heading1"/>
      </w:pPr>
      <w:r>
        <w:rPr>
          <w:color w:val="2E75B6"/>
        </w:rPr>
        <w:t xml:space="preserve">7. </w:t>
      </w:r>
      <w:r>
        <w:t xml:space="preserve">BigTech Market CRM</w:t>
      </w:r>
    </w:p>
    <w:p>
      <w:pPr>
        <w:pBdr>
          <w:left w:val="single" w:color="2E75B6" w:sz="18" w:space="8"/>
        </w:pBdr>
        <w:spacing w:after="200" w:before="120"/>
      </w:pPr>
      <w:r>
        <w:rPr>
          <w:i/>
          <w:iCs/>
          <w:color w:val="595959"/>
        </w:rPr>
        <w:t xml:space="preserve">This section is a placeholder built from the BTM platform overview. Refine with confirmed CRM process details.</w:t>
      </w:r>
    </w:p>
    <w:p>
      <w:pPr>
        <w:spacing w:after="160"/>
      </w:pPr>
      <w:r>
        <w:t xml:space="preserve">BTM's customer relationship management layer is built on HubSpot CRM, and it is the system of record for every customer interaction from the very first consultation booking.</w:t>
      </w:r>
    </w:p>
    <w:p>
      <w:pPr>
        <w:pStyle w:val="Heading2"/>
      </w:pPr>
      <w:r>
        <w:t xml:space="preserve">Core CRM Functions</w:t>
      </w:r>
    </w:p>
    <w:p>
      <w:pPr>
        <w:pStyle w:val="ListParagraph"/>
        <w:numPr>
          <w:ilvl w:val="0"/>
          <w:numId w:val="2"/>
        </w:numPr>
        <w:spacing w:after="80"/>
      </w:pPr>
      <w:r>
        <w:t xml:space="preserve">Contact creation: the moment a consultation is booked, a contact record is automatically created in HubSpot CRM.</w:t>
      </w:r>
    </w:p>
    <w:p>
      <w:pPr>
        <w:pStyle w:val="ListParagraph"/>
        <w:numPr>
          <w:ilvl w:val="0"/>
          <w:numId w:val="2"/>
        </w:numPr>
        <w:spacing w:after="80"/>
      </w:pPr>
      <w:r>
        <w:t xml:space="preserve">Expert assignment: each contact is routed to the appropriate expert track (BTJE, BTAE, or BTPE) based on the nature of the enquiry.</w:t>
      </w:r>
    </w:p>
    <w:p>
      <w:pPr>
        <w:pStyle w:val="ListParagraph"/>
        <w:numPr>
          <w:ilvl w:val="0"/>
          <w:numId w:val="2"/>
        </w:numPr>
        <w:spacing w:after="80"/>
      </w:pPr>
      <w:r>
        <w:t xml:space="preserve">Category mapping: an expert category mapping system automatically tags every enquiry so it reaches the right specialist.</w:t>
      </w:r>
    </w:p>
    <w:p>
      <w:pPr>
        <w:pStyle w:val="ListParagraph"/>
        <w:numPr>
          <w:ilvl w:val="0"/>
          <w:numId w:val="2"/>
        </w:numPr>
        <w:spacing w:after="80"/>
      </w:pPr>
      <w:r>
        <w:t xml:space="preserve">Pipeline visibility: the CRM record reflects the live status of the lead, from first contact through to qualified opportunity and closed deal.</w:t>
      </w:r>
    </w:p>
    <w:p>
      <w:pPr>
        <w:pStyle w:val="Heading2"/>
      </w:pPr>
      <w:r>
        <w:t xml:space="preserve">Why It Matters for Experts</w:t>
      </w:r>
    </w:p>
    <w:p>
      <w:pPr>
        <w:spacing w:after="160"/>
      </w:pPr>
      <w:r>
        <w:t xml:space="preserve">Because the CRM is integrated directly with the consultation booking system and the Deal Sheet process, Experts do not need to manually log calls, re-enter customer details, or chase status updates. The CRM keeps a single, accurate record that feeds every later stage of the deal.</w:t>
      </w:r>
    </w:p>
    <w:p>
      <w:pPr>
        <w:pStyle w:val="Heading1"/>
      </w:pPr>
      <w:r>
        <w:rPr>
          <w:color w:val="2E75B6"/>
        </w:rPr>
        <w:t xml:space="preserve">8. </w:t>
      </w:r>
      <w:r>
        <w:t xml:space="preserve">BigTech Market LMS</w:t>
      </w:r>
    </w:p>
    <w:p>
      <w:pPr>
        <w:spacing w:after="160"/>
      </w:pPr>
      <w:r>
        <w:t xml:space="preserve">BTM provides a Learning Management System (LMS) that delivers training content directly to customers for the products and solutions they have purchased or are evaluating.</w:t>
      </w:r>
    </w:p>
    <w:p>
      <w:pPr>
        <w:pStyle w:val="Heading2"/>
      </w:pPr>
      <w:r>
        <w:t xml:space="preserve">How the LMS Works</w:t>
      </w:r>
    </w:p>
    <w:p>
      <w:pPr>
        <w:pStyle w:val="ListParagraph"/>
        <w:numPr>
          <w:ilvl w:val="0"/>
          <w:numId w:val="2"/>
        </w:numPr>
        <w:spacing w:after="80"/>
      </w:pPr>
      <w:r>
        <w:t xml:space="preserve">BTM provides structured learning modules tied to specific products available on the platform.</w:t>
      </w:r>
    </w:p>
    <w:p>
      <w:pPr>
        <w:pStyle w:val="ListParagraph"/>
        <w:numPr>
          <w:ilvl w:val="0"/>
          <w:numId w:val="2"/>
        </w:numPr>
        <w:spacing w:after="80"/>
      </w:pPr>
      <w:r>
        <w:t xml:space="preserve">Customers are given login details by BigTech Market, granting them access to the relevant training content.</w:t>
      </w:r>
    </w:p>
    <w:p>
      <w:pPr>
        <w:pStyle w:val="ListParagraph"/>
        <w:numPr>
          <w:ilvl w:val="0"/>
          <w:numId w:val="2"/>
        </w:numPr>
        <w:spacing w:after="80"/>
      </w:pPr>
      <w:r>
        <w:t xml:space="preserve">Customers use these modules to train their own employees on how to use and operate the purchased products correctly.</w:t>
      </w:r>
    </w:p>
    <w:p>
      <w:pPr>
        <w:pStyle w:val="Heading2"/>
      </w:pPr>
      <w:r>
        <w:t xml:space="preserve">Why the LMS Matters</w:t>
      </w:r>
    </w:p>
    <w:p>
      <w:pPr>
        <w:spacing w:after="160"/>
      </w:pPr>
      <w:r>
        <w:t xml:space="preserve">The LMS extends BTM's value beyond the initial sale and consultation. Instead of leaving customers to figure out a new technology product on their own, BTM ensures that the people who will actually use the product day to day, the customer's employees, have structured, guided access to the training they need.</w:t>
      </w:r>
    </w:p>
    <w:p>
      <w:pPr>
        <w:spacing w:after="160"/>
      </w:pPr>
      <w:r>
        <w:t xml:space="preserve">This also reduces the support burden on Experts after a deal closes, since customers can refer their teams to the LMS rather than relying solely on the expert for every operational question.</w:t>
      </w:r>
    </w:p>
    <w:p>
      <w:pPr>
        <w:pStyle w:val="Heading1"/>
      </w:pPr>
      <w:r>
        <w:rPr>
          <w:color w:val="2E75B6"/>
        </w:rPr>
        <w:t xml:space="preserve">9. </w:t>
      </w:r>
      <w:r>
        <w:t xml:space="preserve">BigTech Market Wallet</w:t>
      </w:r>
    </w:p>
    <w:p>
      <w:pPr>
        <w:pBdr>
          <w:left w:val="single" w:color="2E75B6" w:sz="18" w:space="8"/>
        </w:pBdr>
        <w:spacing w:after="200" w:before="120"/>
      </w:pPr>
      <w:r>
        <w:rPr>
          <w:i/>
          <w:iCs/>
          <w:color w:val="595959"/>
        </w:rPr>
        <w:t xml:space="preserve">This section is a placeholder built from the BTM platform overview. Refine with confirmed wallet process details.</w:t>
      </w:r>
    </w:p>
    <w:p>
      <w:pPr>
        <w:spacing w:after="160"/>
      </w:pPr>
      <w:r>
        <w:t xml:space="preserve">The BTM Wallet is the mechanism through which Experts receive their earnings. It connects directly to the Deal Sheet and commission profile system, ensuring that payment is accurate and timely.</w:t>
      </w:r>
    </w:p>
    <w:p>
      <w:pPr>
        <w:pStyle w:val="Heading2"/>
      </w:pPr>
      <w:r>
        <w:t xml:space="preserve">How the Wallet Fits the Payment Flow</w:t>
      </w:r>
    </w:p>
    <w:p>
      <w:pPr>
        <w:pStyle w:val="ListParagraph"/>
        <w:numPr>
          <w:ilvl w:val="0"/>
          <w:numId w:val="7"/>
        </w:numPr>
        <w:spacing w:after="80"/>
      </w:pPr>
      <w:r>
        <w:t xml:space="preserve">Commission profiles link automatically to each Deal Sheet, so the correct commission formula applies to every deal from the start.</w:t>
      </w:r>
    </w:p>
    <w:p>
      <w:pPr>
        <w:pStyle w:val="ListParagraph"/>
        <w:numPr>
          <w:ilvl w:val="0"/>
          <w:numId w:val="7"/>
        </w:numPr>
        <w:spacing w:after="80"/>
      </w:pPr>
      <w:r>
        <w:t xml:space="preserve">Once a deal is marked Closed Won, commissions are verified against milestone records.</w:t>
      </w:r>
    </w:p>
    <w:p>
      <w:pPr>
        <w:pStyle w:val="ListParagraph"/>
        <w:numPr>
          <w:ilvl w:val="0"/>
          <w:numId w:val="7"/>
        </w:numPr>
        <w:spacing w:after="80"/>
      </w:pPr>
      <w:r>
        <w:t xml:space="preserve">Verified payment is disbursed directly to the Expert, via API, into their Wallet or linked bank account.</w:t>
      </w:r>
    </w:p>
    <w:p>
      <w:pPr>
        <w:pStyle w:val="ListParagraph"/>
        <w:numPr>
          <w:ilvl w:val="0"/>
          <w:numId w:val="7"/>
        </w:numPr>
        <w:spacing w:after="80"/>
      </w:pPr>
      <w:r>
        <w:t xml:space="preserve">A complete, immutable audit trail records every transaction, from first click to final payment.</w:t>
      </w:r>
    </w:p>
    <w:p>
      <w:pPr>
        <w:pStyle w:val="Heading2"/>
      </w:pPr>
      <w:r>
        <w:t xml:space="preserve">Why It Matters for Experts</w:t>
      </w:r>
    </w:p>
    <w:p>
      <w:pPr>
        <w:spacing w:after="160"/>
      </w:pPr>
      <w:r>
        <w:t xml:space="preserve">Because payout is formula-driven and tied to verified milestones, Experts can trust that their earnings are calculated consistently and paid out without manual chasing. The result, referenced in the income potential of the Associate track, is a transparent path from completed consultations to real income.</w:t>
      </w:r>
    </w:p>
    <w:p>
      <w:pPr>
        <w:pStyle w:val="Heading1"/>
      </w:pPr>
      <w:r>
        <w:rPr>
          <w:color w:val="2E75B6"/>
        </w:rPr>
        <w:t xml:space="preserve">10. </w:t>
      </w:r>
      <w:r>
        <w:t xml:space="preserve">Conclusion</w:t>
      </w:r>
    </w:p>
    <w:p>
      <w:pPr>
        <w:spacing w:after="160"/>
      </w:pPr>
      <w:r>
        <w:t xml:space="preserve">BigTech Market brings together expert knowledge, automated deal management, and transparent payment into a single, intelligent platform. From the first customer enquiry to the final commission payout, every step is designed to remove friction for the customer, the expert, and the technology vendor alike.</w:t>
      </w:r>
    </w:p>
    <w:p>
      <w:pPr>
        <w:pStyle w:val="Heading2"/>
      </w:pPr>
      <w:r>
        <w:t xml:space="preserve">Key Takeaways</w:t>
      </w:r>
    </w:p>
    <w:p>
      <w:pPr>
        <w:pStyle w:val="ListParagraph"/>
        <w:numPr>
          <w:ilvl w:val="0"/>
          <w:numId w:val="2"/>
        </w:numPr>
        <w:spacing w:after="80"/>
      </w:pPr>
      <w:r>
        <w:t xml:space="preserve">BTM connects businesses needing high technology with pre-qualified, independent experts across three tracks: Junior (BTJE), Associate (BTAE), and Principal (BTPE).</w:t>
      </w:r>
    </w:p>
    <w:p>
      <w:pPr>
        <w:pStyle w:val="ListParagraph"/>
        <w:numPr>
          <w:ilvl w:val="0"/>
          <w:numId w:val="2"/>
        </w:numPr>
        <w:spacing w:after="80"/>
      </w:pPr>
      <w:r>
        <w:t xml:space="preserve">Every deal moves through a consistent, automated journey: discovery, expert matching, Deal Sheet generation, linked product and commission profiles, and finally execution and payment.</w:t>
      </w:r>
    </w:p>
    <w:p>
      <w:pPr>
        <w:pStyle w:val="ListParagraph"/>
        <w:numPr>
          <w:ilvl w:val="0"/>
          <w:numId w:val="2"/>
        </w:numPr>
        <w:spacing w:after="80"/>
      </w:pPr>
      <w:r>
        <w:t xml:space="preserve">Supporting systems, the CRM, the LMS, and the Wallet, work together so that no lead is lost, customers are trained properly, and Experts are paid accurately and on time.</w:t>
      </w:r>
    </w:p>
    <w:p>
      <w:pPr>
        <w:pStyle w:val="ListParagraph"/>
        <w:numPr>
          <w:ilvl w:val="0"/>
          <w:numId w:val="2"/>
        </w:numPr>
        <w:spacing w:after="80"/>
      </w:pPr>
      <w:r>
        <w:t xml:space="preserve">Experts work entirely on their own terms, with earnings driven by communication skill, ratings, and engagement rather than fixed salary structures.</w:t>
      </w:r>
    </w:p>
    <w:p>
      <w:pPr>
        <w:pBdr>
          <w:left w:val="single" w:color="2E75B6" w:sz="18" w:space="8"/>
        </w:pBdr>
        <w:spacing w:after="200" w:before="120"/>
      </w:pPr>
      <w:r>
        <w:rPr>
          <w:i/>
          <w:iCs/>
          <w:color w:val="595959"/>
        </w:rPr>
        <w:t xml:space="preserve">From first click to final payment, one platform — expert advice, extraordinary outcomes.</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95959"/>
        <w:sz w:val="18"/>
        <w:szCs w:val="18"/>
      </w:rPr>
      <w:t xml:space="preserve">Page </w:t>
    </w:r>
    <w:r>
      <w:rPr>
        <w:color w:val="595959"/>
        <w:sz w:val="18"/>
        <w:szCs w:val="18"/>
      </w:rPr>
      <w:fldChar w:fldCharType="begin"/>
      <w:instrText xml:space="preserve">PAGE</w:instrText>
      <w:fldChar w:fldCharType="separate"/>
      <w:fldChar w:fldCharType="end"/>
    </w:r>
    <w:r>
      <w:rPr>
        <w:color w:val="595959"/>
        <w:sz w:val="18"/>
        <w:szCs w:val="18"/>
      </w:rPr>
      <w:t xml:space="preserve"> of </w:t>
    </w:r>
    <w:r>
      <w:rPr>
        <w:color w:val="595959"/>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9026"/>
      </w:tabs>
    </w:pPr>
    <w:r>
      <w:rPr>
        <w:b/>
        <w:bCs/>
        <w:color w:val="1F3864"/>
        <w:sz w:val="18"/>
        <w:szCs w:val="18"/>
      </w:rPr>
      <w:t xml:space="preserve">BigTech Market</w:t>
    </w:r>
    <w:r>
      <w:rPr>
        <w:color w:val="595959"/>
        <w:sz w:val="18"/>
        <w:szCs w:val="18"/>
      </w:rPr>
      <w:t xml:space="preserve">	Expert Learning Module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decimal"/>
      <w:lvlText w:val="%1."/>
      <w:lvlJc w:val="left"/>
      <w:pPr>
        <w:ind w:left="720" w:hanging="360"/>
      </w:pPr>
    </w:lvl>
  </w:abstractNum>
  <w:abstractNum w:abstractNumId="5" w15:restartNumberingAfterBreak="0">
    <w:multiLevelType w:val="hybridMultilevel"/>
    <w:lvl w:ilvl="0" w15:tentative="1">
      <w:start w:val="1"/>
      <w:numFmt w:val="decimal"/>
      <w:lvlText w:val="%1."/>
      <w:lvlJc w:val="left"/>
      <w:pPr>
        <w:ind w:left="720" w:hanging="360"/>
      </w:pPr>
    </w:lvl>
  </w:abstractNum>
  <w:abstractNum w:abstractNumId="6" w15:restartNumberingAfterBreak="0">
    <w:multiLevelType w:val="hybridMultilevel"/>
    <w:lvl w:ilvl="0" w15:tentative="1">
      <w:start w:val="1"/>
      <w:numFmt w:val="decimal"/>
      <w:lvlText w:val="%1."/>
      <w:lvlJc w:val="left"/>
      <w:pPr>
        <w:ind w:left="720" w:hanging="360"/>
      </w:pPr>
    </w:lvl>
  </w:abstractNum>
  <w:abstractNum w:abstractNumId="7"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4"/>
    <w:lvlOverride w:ilvl="0">
      <w:startOverride w:val="1"/>
    </w:lvlOverride>
  </w:num>
  <w:num w:numId="4">
    <w:abstractNumId w:val="5"/>
    <w:lvlOverride w:ilvl="0">
      <w:startOverride w:val="1"/>
    </w:lvlOverride>
  </w:num>
  <w:num w:numId="5">
    <w:abstractNumId w:val="6"/>
    <w:lvlOverride w:ilvl="0">
      <w:startOverride w:val="1"/>
    </w:lvlOverride>
  </w:num>
  <w:num w:numId="6">
    <w:abstractNumId w:val="7"/>
    <w:lvlOverride w:ilvl="0">
      <w:startOverride w:val="1"/>
    </w:lvlOverride>
  </w:num>
  <w:num w:numId="7">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62626"/>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2E75B6" w:sz="8" w:space="4"/>
      </w:pBdr>
      <w:spacing w:after="220" w:before="360"/>
      <w:outlineLvl w:val="0"/>
    </w:pPr>
    <w:rPr>
      <w:rFonts w:ascii="Arial" w:cs="Arial" w:eastAsia="Arial" w:hAnsi="Arial"/>
      <w:b/>
      <w:bCs/>
      <w:color w:val="1F3864"/>
      <w:sz w:val="32"/>
      <w:szCs w:val="32"/>
    </w:rPr>
  </w:style>
  <w:style w:type="paragraph" w:styleId="Heading2">
    <w:name w:val="Heading 2"/>
    <w:basedOn w:val="Normal"/>
    <w:next w:val="Normal"/>
    <w:qFormat/>
    <w:pPr>
      <w:spacing w:after="140" w:before="240"/>
      <w:outlineLvl w:val="1"/>
    </w:pPr>
    <w:rPr>
      <w:rFonts w:ascii="Arial" w:cs="Arial" w:eastAsia="Arial" w:hAnsi="Arial"/>
      <w:b/>
      <w:bCs/>
      <w:color w:val="2E75B6"/>
      <w:sz w:val="26"/>
      <w:szCs w:val="26"/>
    </w:rPr>
  </w:style>
  <w:style w:type="paragraph" w:styleId="Title">
    <w:name w:val="Title"/>
    <w:basedOn w:val="Normal"/>
    <w:next w:val="Normal"/>
    <w:qFormat/>
    <w:pPr>
      <w:spacing w:after="120"/>
      <w:jc w:val="center"/>
    </w:pPr>
    <w:rPr>
      <w:rFonts w:ascii="Arial" w:cs="Arial" w:eastAsia="Arial" w:hAnsi="Arial"/>
      <w:b/>
      <w:bCs/>
      <w:color w:val="1F3864"/>
      <w:sz w:val="56"/>
      <w:szCs w:val="56"/>
    </w:rPr>
  </w:style>
  <w:style w:type="paragraph" w:styleId="Subtitle">
    <w:name w:val="Subtitle"/>
    <w:basedOn w:val="Normal"/>
    <w:next w:val="Normal"/>
    <w:qFormat/>
    <w:pPr>
      <w:spacing w:after="120"/>
      <w:jc w:val="center"/>
    </w:pPr>
    <w:rPr>
      <w:rFonts w:ascii="Arial" w:cs="Arial" w:eastAsia="Arial" w:hAnsi="Arial"/>
      <w:color w:val="595959"/>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BTM Expert Learning Module</dc:title>
  <dc:creator>BigTech Market</dc:creator>
  <cp:lastModifiedBy>Un-named</cp:lastModifiedBy>
  <cp:revision>1</cp:revision>
  <dcterms:created xsi:type="dcterms:W3CDTF">2026-06-17T07:00:35.333Z</dcterms:created>
  <dcterms:modified xsi:type="dcterms:W3CDTF">2026-06-17T07:00:35.334Z</dcterms:modified>
</cp:coreProperties>
</file>

<file path=docProps/custom.xml><?xml version="1.0" encoding="utf-8"?>
<Properties xmlns="http://schemas.openxmlformats.org/officeDocument/2006/custom-properties" xmlns:vt="http://schemas.openxmlformats.org/officeDocument/2006/docPropsVTypes"/>
</file>